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89" w:rsidRDefault="005F1989" w:rsidP="005F1989">
      <w:pPr>
        <w:pStyle w:val="ConsPlusNormal"/>
        <w:jc w:val="right"/>
        <w:outlineLvl w:val="0"/>
      </w:pPr>
      <w:r>
        <w:t>Приложение 29</w:t>
      </w:r>
    </w:p>
    <w:p w:rsidR="005F1989" w:rsidRDefault="005F1989" w:rsidP="005F1989">
      <w:pPr>
        <w:pStyle w:val="ConsPlusNormal"/>
        <w:jc w:val="right"/>
      </w:pPr>
      <w:r>
        <w:t>к областному закону</w:t>
      </w:r>
    </w:p>
    <w:p w:rsidR="005F1989" w:rsidRDefault="005F1989" w:rsidP="005F1989">
      <w:pPr>
        <w:pStyle w:val="ConsPlusNormal"/>
        <w:jc w:val="right"/>
      </w:pPr>
      <w:r>
        <w:t>"Об областном бюджете на 2020 год</w:t>
      </w:r>
    </w:p>
    <w:p w:rsidR="005F1989" w:rsidRDefault="005F1989" w:rsidP="005F1989">
      <w:pPr>
        <w:pStyle w:val="ConsPlusNormal"/>
        <w:jc w:val="right"/>
      </w:pPr>
      <w:r>
        <w:t>и на плановый период 2021 и 2022 годов"</w:t>
      </w:r>
    </w:p>
    <w:p w:rsidR="005F1989" w:rsidRDefault="005F1989" w:rsidP="005F1989">
      <w:pPr>
        <w:pStyle w:val="ConsPlusNormal"/>
        <w:jc w:val="both"/>
      </w:pPr>
    </w:p>
    <w:p w:rsidR="005F1989" w:rsidRDefault="005F1989" w:rsidP="005F1989">
      <w:pPr>
        <w:pStyle w:val="ConsPlusTitle"/>
        <w:jc w:val="center"/>
      </w:pPr>
      <w:bookmarkStart w:id="0" w:name="P92333"/>
      <w:bookmarkEnd w:id="0"/>
      <w:r>
        <w:t>ПРОГРАММА</w:t>
      </w:r>
    </w:p>
    <w:p w:rsidR="005F1989" w:rsidRDefault="005F1989" w:rsidP="005F1989">
      <w:pPr>
        <w:pStyle w:val="ConsPlusTitle"/>
        <w:jc w:val="center"/>
      </w:pPr>
      <w:r>
        <w:t xml:space="preserve">ГОСУДАРСТВЕННЫХ ВНУТРЕННИХ ЗАИМСТВОВАНИЙ </w:t>
      </w:r>
      <w:proofErr w:type="gramStart"/>
      <w:r>
        <w:t>НОВГОРОДСКОЙ</w:t>
      </w:r>
      <w:proofErr w:type="gramEnd"/>
    </w:p>
    <w:p w:rsidR="005F1989" w:rsidRDefault="005F1989" w:rsidP="005F1989">
      <w:pPr>
        <w:pStyle w:val="ConsPlusTitle"/>
        <w:jc w:val="center"/>
      </w:pPr>
      <w:r>
        <w:t>ОБЛАСТИ НА 2020 ГОД И НА ПЛАНОВЫЙ ПЕРИОД 2021</w:t>
      </w:r>
      <w:proofErr w:type="gramStart"/>
      <w:r>
        <w:t xml:space="preserve"> И</w:t>
      </w:r>
      <w:proofErr w:type="gramEnd"/>
      <w:r>
        <w:t xml:space="preserve"> 2022 ГОДОВ</w:t>
      </w:r>
    </w:p>
    <w:p w:rsidR="005F1989" w:rsidRDefault="005F1989" w:rsidP="005F198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F1989" w:rsidTr="00CB483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F1989" w:rsidRDefault="005F1989" w:rsidP="00CB48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F1989" w:rsidRDefault="005F1989" w:rsidP="00CB483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24.04.2020 N 557-ОЗ)</w:t>
            </w:r>
          </w:p>
        </w:tc>
      </w:tr>
    </w:tbl>
    <w:p w:rsidR="005F1989" w:rsidRDefault="005F1989" w:rsidP="005F1989">
      <w:pPr>
        <w:pStyle w:val="ConsPlusNormal"/>
        <w:jc w:val="both"/>
      </w:pPr>
    </w:p>
    <w:p w:rsidR="005F1989" w:rsidRDefault="005F1989" w:rsidP="005F1989">
      <w:pPr>
        <w:pStyle w:val="ConsPlusNormal"/>
        <w:jc w:val="right"/>
      </w:pPr>
      <w:r>
        <w:t>(тыс. рублей)</w:t>
      </w:r>
    </w:p>
    <w:p w:rsidR="005F1989" w:rsidRDefault="005F1989" w:rsidP="005F1989">
      <w:pPr>
        <w:sectPr w:rsidR="005F1989">
          <w:pgSz w:w="11905" w:h="16838"/>
          <w:pgMar w:top="1134" w:right="850" w:bottom="1134" w:left="1701" w:header="0" w:footer="0" w:gutter="0"/>
          <w:cols w:space="720"/>
        </w:sectPr>
      </w:pPr>
    </w:p>
    <w:p w:rsidR="005F1989" w:rsidRDefault="005F1989" w:rsidP="005F198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985"/>
        <w:gridCol w:w="1531"/>
        <w:gridCol w:w="1918"/>
        <w:gridCol w:w="1587"/>
        <w:gridCol w:w="1918"/>
        <w:gridCol w:w="1531"/>
      </w:tblGrid>
      <w:tr w:rsidR="005F1989" w:rsidTr="00CB483D">
        <w:tc>
          <w:tcPr>
            <w:tcW w:w="3118" w:type="dxa"/>
            <w:vMerge w:val="restart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Внутренние заимствования (привлечение/погашение)</w:t>
            </w:r>
          </w:p>
        </w:tc>
        <w:tc>
          <w:tcPr>
            <w:tcW w:w="3516" w:type="dxa"/>
            <w:gridSpan w:val="2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3505" w:type="dxa"/>
            <w:gridSpan w:val="2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3449" w:type="dxa"/>
            <w:gridSpan w:val="2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2022 год</w:t>
            </w:r>
          </w:p>
        </w:tc>
      </w:tr>
      <w:tr w:rsidR="005F1989" w:rsidTr="00CB483D">
        <w:tc>
          <w:tcPr>
            <w:tcW w:w="3118" w:type="dxa"/>
            <w:vMerge/>
          </w:tcPr>
          <w:p w:rsidR="005F1989" w:rsidRDefault="005F1989" w:rsidP="00CB483D"/>
        </w:tc>
        <w:tc>
          <w:tcPr>
            <w:tcW w:w="1985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31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предельные сроки погашения долговых обязательств</w:t>
            </w:r>
          </w:p>
        </w:tc>
        <w:tc>
          <w:tcPr>
            <w:tcW w:w="1918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87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предельные сроки погашения долговых обязательств</w:t>
            </w:r>
          </w:p>
        </w:tc>
        <w:tc>
          <w:tcPr>
            <w:tcW w:w="1918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531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предельные сроки погашения долговых обязательств</w:t>
            </w:r>
          </w:p>
        </w:tc>
      </w:tr>
      <w:tr w:rsidR="005F1989" w:rsidTr="00CB483D">
        <w:tc>
          <w:tcPr>
            <w:tcW w:w="3118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18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18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5F1989" w:rsidRDefault="005F1989" w:rsidP="00CB483D">
            <w:pPr>
              <w:pStyle w:val="ConsPlusNormal"/>
              <w:jc w:val="center"/>
            </w:pPr>
            <w:r>
              <w:t>7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Всего заимствования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1920244,60000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-457580,90000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-1058433,30000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-1840489,20000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-1840489,20000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привлечение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в том числе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привлечение бюджетных кредитов из федерального бюджета на пополнение остатков средств на счете бюджета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в срок, не превышающий 90 дней со дня получения бюджетного кредита на пополнение остатков средств на счете бюджета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в срок, не превышающий 90 дней со дня получения бюджетного кредита на пополнение остатков средств на счете бюджета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в срок, не превышающий 90 дней со дня получения бюджетного кредита на пополнение остатков средств на счете бюджета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погашение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-4540489,20000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-4540489,20000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в том числе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lastRenderedPageBreak/>
              <w:t>погашение бюджетных кредитов, полученных из федерального бюджета на пополнение остатков средств на счете бюджета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-2700000,00000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-2700000,00000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погашение бюджетных кредитов, полученных из федерального бюджета для частичного покрытия дефицита областного бюджета (погашение реструктуризированной задолженности по бюджетным кредитам, полученным из федерального бюджета в 2015 - 2017 годах)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-1840489,20000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-1840489,20000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Кредиты, полученные субъектом Российской Федерации от кредитных организаций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1920244,60000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1382908,30000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782055,90000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привлечение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7144440,20000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не позднее 31.12.2023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6975726,20000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не позднее - 31.12.2024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6926496,10000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не позднее - 31.12.2025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погашение, всего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-5224195,60000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-5592817,90000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-6144440,20000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в том числе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</w:tr>
      <w:tr w:rsidR="005F1989" w:rsidTr="00CB483D">
        <w:tc>
          <w:tcPr>
            <w:tcW w:w="3118" w:type="dxa"/>
          </w:tcPr>
          <w:p w:rsidR="005F1989" w:rsidRDefault="005F1989" w:rsidP="00CB483D">
            <w:pPr>
              <w:pStyle w:val="ConsPlusNormal"/>
            </w:pPr>
            <w:r>
              <w:t>Публичное акционерное общество "Сбербанк России"</w:t>
            </w:r>
          </w:p>
        </w:tc>
        <w:tc>
          <w:tcPr>
            <w:tcW w:w="1985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-4900000,00000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-5592817,90000</w:t>
            </w:r>
          </w:p>
        </w:tc>
        <w:tc>
          <w:tcPr>
            <w:tcW w:w="1587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918" w:type="dxa"/>
            <w:vAlign w:val="bottom"/>
          </w:tcPr>
          <w:p w:rsidR="005F1989" w:rsidRDefault="005F1989" w:rsidP="00CB483D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31" w:type="dxa"/>
            <w:vAlign w:val="bottom"/>
          </w:tcPr>
          <w:p w:rsidR="005F1989" w:rsidRDefault="005F1989" w:rsidP="00CB483D">
            <w:pPr>
              <w:pStyle w:val="ConsPlusNormal"/>
            </w:pPr>
          </w:p>
        </w:tc>
      </w:tr>
    </w:tbl>
    <w:p w:rsidR="005F1989" w:rsidRDefault="005F1989" w:rsidP="005F1989">
      <w:pPr>
        <w:pStyle w:val="ConsPlusNormal"/>
        <w:jc w:val="both"/>
      </w:pPr>
    </w:p>
    <w:p w:rsidR="005F1989" w:rsidRDefault="005F1989" w:rsidP="005F1989">
      <w:pPr>
        <w:pStyle w:val="ConsPlusNormal"/>
        <w:jc w:val="both"/>
      </w:pPr>
    </w:p>
    <w:p w:rsidR="005F1989" w:rsidRDefault="005F1989" w:rsidP="005F19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358C5" w:rsidRDefault="001358C5">
      <w:bookmarkStart w:id="1" w:name="_GoBack"/>
      <w:bookmarkEnd w:id="1"/>
    </w:p>
    <w:sectPr w:rsidR="001358C5" w:rsidSect="005F19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89"/>
    <w:rsid w:val="001358C5"/>
    <w:rsid w:val="005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1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C5BF579522F00E2E614AB62D6F6823A3F2FC2E643528F5616EF7803FA2B38E5D6ABC00F85F6A40845D2F83E22B0BDA398CF2B71730A7A1183220QAs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2020-05-18T07:31:00Z</dcterms:created>
  <dcterms:modified xsi:type="dcterms:W3CDTF">2020-05-18T07:31:00Z</dcterms:modified>
</cp:coreProperties>
</file>